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CD" w:rsidRPr="00330439" w:rsidRDefault="001B52CD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Université Pierre Mendès-</w:t>
      </w:r>
      <w:r w:rsidR="00330439">
        <w:rPr>
          <w:rFonts w:ascii="Times New Roman" w:hAnsi="Times New Roman" w:cs="Times New Roman"/>
        </w:rPr>
        <w:t xml:space="preserve">France/Difeve. </w:t>
      </w:r>
      <w:r w:rsidR="00330439" w:rsidRPr="00330439">
        <w:rPr>
          <w:rFonts w:ascii="Times New Roman" w:hAnsi="Times New Roman" w:cs="Times New Roman"/>
          <w:sz w:val="16"/>
          <w:szCs w:val="16"/>
        </w:rPr>
        <w:t>25 mai 2011</w:t>
      </w:r>
    </w:p>
    <w:p w:rsidR="001B52CD" w:rsidRDefault="001B52CD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2CD" w:rsidRPr="001B52CD" w:rsidRDefault="001B52CD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52CD">
        <w:rPr>
          <w:rFonts w:ascii="Times New Roman" w:hAnsi="Times New Roman" w:cs="Times New Roman"/>
          <w:b/>
        </w:rPr>
        <w:t xml:space="preserve">Note sur l’architecture des formations préparant aux métiers de l’enseignement à l’université </w:t>
      </w:r>
      <w:r>
        <w:rPr>
          <w:rFonts w:ascii="Times New Roman" w:hAnsi="Times New Roman" w:cs="Times New Roman"/>
          <w:b/>
        </w:rPr>
        <w:t>P</w:t>
      </w:r>
      <w:r w:rsidRPr="001B52CD">
        <w:rPr>
          <w:rFonts w:ascii="Times New Roman" w:hAnsi="Times New Roman" w:cs="Times New Roman"/>
          <w:b/>
        </w:rPr>
        <w:t xml:space="preserve">ierre Mendès France (Grenoble 2) </w:t>
      </w:r>
    </w:p>
    <w:p w:rsidR="00EA3D06" w:rsidRDefault="00EA3D06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2A8" w:rsidRDefault="001F12A8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A66" w:rsidRDefault="003F657C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3F657C">
        <w:rPr>
          <w:rFonts w:ascii="Times New Roman" w:hAnsi="Times New Roman" w:cs="Times New Roman"/>
          <w:b/>
        </w:rPr>
        <w:t>/ Année universitaire 2010-2011</w:t>
      </w:r>
    </w:p>
    <w:p w:rsidR="001F12A8" w:rsidRPr="003F657C" w:rsidRDefault="001F12A8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57C" w:rsidRDefault="003F657C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9FC" w:rsidRDefault="00DD09FC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A66">
        <w:rPr>
          <w:rFonts w:ascii="Times New Roman" w:hAnsi="Times New Roman" w:cs="Times New Roman"/>
          <w:b/>
          <w:sz w:val="20"/>
          <w:szCs w:val="20"/>
        </w:rPr>
        <w:t>1</w:t>
      </w:r>
      <w:r w:rsidR="003F657C">
        <w:rPr>
          <w:rFonts w:ascii="Times New Roman" w:hAnsi="Times New Roman" w:cs="Times New Roman"/>
          <w:b/>
          <w:sz w:val="20"/>
          <w:szCs w:val="20"/>
        </w:rPr>
        <w:t>.1-</w:t>
      </w:r>
      <w:r w:rsidRPr="007B1A66">
        <w:rPr>
          <w:rFonts w:ascii="Times New Roman" w:hAnsi="Times New Roman" w:cs="Times New Roman"/>
          <w:b/>
          <w:sz w:val="20"/>
          <w:szCs w:val="20"/>
        </w:rPr>
        <w:t xml:space="preserve"> Adaptation de parcours : </w:t>
      </w:r>
    </w:p>
    <w:p w:rsidR="003F657C" w:rsidRPr="007B1A66" w:rsidRDefault="003F657C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3D06" w:rsidRPr="007B1A66" w:rsidRDefault="00EA3D06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A66">
        <w:rPr>
          <w:rFonts w:ascii="Times New Roman" w:hAnsi="Times New Roman" w:cs="Times New Roman"/>
          <w:sz w:val="20"/>
          <w:szCs w:val="20"/>
        </w:rPr>
        <w:t xml:space="preserve">La proposition </w:t>
      </w:r>
      <w:r w:rsidR="00DD09FC" w:rsidRPr="007B1A66">
        <w:rPr>
          <w:rFonts w:ascii="Times New Roman" w:hAnsi="Times New Roman" w:cs="Times New Roman"/>
          <w:sz w:val="20"/>
          <w:szCs w:val="20"/>
        </w:rPr>
        <w:t>(</w:t>
      </w:r>
      <w:r w:rsidR="001F12A8" w:rsidRPr="007B1A66">
        <w:rPr>
          <w:rFonts w:ascii="Times New Roman" w:hAnsi="Times New Roman" w:cs="Times New Roman"/>
          <w:sz w:val="20"/>
          <w:szCs w:val="20"/>
        </w:rPr>
        <w:t>cf.</w:t>
      </w:r>
      <w:r w:rsidR="00DD09FC" w:rsidRPr="007B1A66">
        <w:rPr>
          <w:rFonts w:ascii="Times New Roman" w:hAnsi="Times New Roman" w:cs="Times New Roman"/>
          <w:sz w:val="20"/>
          <w:szCs w:val="20"/>
        </w:rPr>
        <w:t xml:space="preserve"> tableau ci-dessous) </w:t>
      </w:r>
      <w:r w:rsidRPr="007B1A66">
        <w:rPr>
          <w:rFonts w:ascii="Times New Roman" w:hAnsi="Times New Roman" w:cs="Times New Roman"/>
          <w:sz w:val="20"/>
          <w:szCs w:val="20"/>
        </w:rPr>
        <w:t>qui est faite par l’université et entérinée par ses conseils statutaires consiste à adapter prioritairement l’architecture des maquettes de master disciplinaire existantes aux exigences pédagogiques des formations aux métiers de l’enseignement.</w:t>
      </w:r>
    </w:p>
    <w:p w:rsidR="00454903" w:rsidRPr="007B1A66" w:rsidRDefault="0054759F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A66">
        <w:rPr>
          <w:rFonts w:ascii="Times New Roman" w:hAnsi="Times New Roman" w:cs="Times New Roman"/>
          <w:sz w:val="20"/>
          <w:szCs w:val="20"/>
        </w:rPr>
        <w:t>Les</w:t>
      </w:r>
      <w:r w:rsidR="00EA3D06" w:rsidRPr="007B1A66">
        <w:rPr>
          <w:rFonts w:ascii="Times New Roman" w:hAnsi="Times New Roman" w:cs="Times New Roman"/>
          <w:sz w:val="20"/>
          <w:szCs w:val="20"/>
        </w:rPr>
        <w:t xml:space="preserve"> contenus pédagogiques </w:t>
      </w:r>
      <w:r w:rsidRPr="007B1A66">
        <w:rPr>
          <w:rFonts w:ascii="Times New Roman" w:hAnsi="Times New Roman" w:cs="Times New Roman"/>
          <w:sz w:val="20"/>
          <w:szCs w:val="20"/>
        </w:rPr>
        <w:t xml:space="preserve">ont été </w:t>
      </w:r>
      <w:r w:rsidR="00EA3D06" w:rsidRPr="007B1A66">
        <w:rPr>
          <w:rFonts w:ascii="Times New Roman" w:hAnsi="Times New Roman" w:cs="Times New Roman"/>
          <w:sz w:val="20"/>
          <w:szCs w:val="20"/>
        </w:rPr>
        <w:t>adaptés sous forme de rajout d</w:t>
      </w:r>
      <w:r w:rsidRPr="007B1A66">
        <w:rPr>
          <w:rFonts w:ascii="Times New Roman" w:hAnsi="Times New Roman" w:cs="Times New Roman"/>
          <w:sz w:val="20"/>
          <w:szCs w:val="20"/>
        </w:rPr>
        <w:t>’UE spécifiques en M1 et de</w:t>
      </w:r>
      <w:r w:rsidR="00EA3D06" w:rsidRPr="007B1A66">
        <w:rPr>
          <w:rFonts w:ascii="Times New Roman" w:hAnsi="Times New Roman" w:cs="Times New Roman"/>
          <w:sz w:val="20"/>
          <w:szCs w:val="20"/>
        </w:rPr>
        <w:t xml:space="preserve"> parcours dédiés en M2 avec une partie des enseignements puisé</w:t>
      </w:r>
      <w:r w:rsidR="001F12A8">
        <w:rPr>
          <w:rFonts w:ascii="Times New Roman" w:hAnsi="Times New Roman" w:cs="Times New Roman"/>
          <w:sz w:val="20"/>
          <w:szCs w:val="20"/>
        </w:rPr>
        <w:t>e</w:t>
      </w:r>
      <w:r w:rsidR="00EA3D06" w:rsidRPr="007B1A66">
        <w:rPr>
          <w:rFonts w:ascii="Times New Roman" w:hAnsi="Times New Roman" w:cs="Times New Roman"/>
          <w:sz w:val="20"/>
          <w:szCs w:val="20"/>
        </w:rPr>
        <w:t xml:space="preserve"> dans les autres parcours</w:t>
      </w:r>
      <w:r w:rsidRPr="007B1A66">
        <w:rPr>
          <w:rFonts w:ascii="Times New Roman" w:hAnsi="Times New Roman" w:cs="Times New Roman"/>
          <w:sz w:val="20"/>
          <w:szCs w:val="20"/>
        </w:rPr>
        <w:t xml:space="preserve"> </w:t>
      </w:r>
      <w:r w:rsidR="00EA3D06" w:rsidRPr="007B1A66">
        <w:rPr>
          <w:rFonts w:ascii="Times New Roman" w:hAnsi="Times New Roman" w:cs="Times New Roman"/>
          <w:sz w:val="20"/>
          <w:szCs w:val="20"/>
        </w:rPr>
        <w:t>ou  aménagés et allégés de façon à favoriser l’acquisition des compléments de formation</w:t>
      </w:r>
      <w:r w:rsidRPr="007B1A66">
        <w:rPr>
          <w:rFonts w:ascii="Times New Roman" w:hAnsi="Times New Roman" w:cs="Times New Roman"/>
          <w:sz w:val="20"/>
          <w:szCs w:val="20"/>
        </w:rPr>
        <w:t xml:space="preserve"> </w:t>
      </w:r>
      <w:r w:rsidR="00EA3D06" w:rsidRPr="007B1A66">
        <w:rPr>
          <w:rFonts w:ascii="Times New Roman" w:hAnsi="Times New Roman" w:cs="Times New Roman"/>
          <w:sz w:val="20"/>
          <w:szCs w:val="20"/>
        </w:rPr>
        <w:t>indispensables à la nature du concours et du métier visé</w:t>
      </w:r>
      <w:r w:rsidRPr="007B1A66">
        <w:rPr>
          <w:rFonts w:ascii="Times New Roman" w:hAnsi="Times New Roman" w:cs="Times New Roman"/>
          <w:sz w:val="20"/>
          <w:szCs w:val="20"/>
        </w:rPr>
        <w:t>. Ce parti pris</w:t>
      </w:r>
      <w:r w:rsidR="00EA3D06" w:rsidRPr="007B1A66">
        <w:rPr>
          <w:rFonts w:ascii="Times New Roman" w:hAnsi="Times New Roman" w:cs="Times New Roman"/>
          <w:sz w:val="20"/>
          <w:szCs w:val="20"/>
        </w:rPr>
        <w:t xml:space="preserve"> permettra aux étudiants qui n’auraient</w:t>
      </w:r>
      <w:r w:rsidRPr="007B1A66">
        <w:rPr>
          <w:rFonts w:ascii="Times New Roman" w:hAnsi="Times New Roman" w:cs="Times New Roman"/>
          <w:sz w:val="20"/>
          <w:szCs w:val="20"/>
        </w:rPr>
        <w:t xml:space="preserve"> </w:t>
      </w:r>
      <w:r w:rsidR="00EA3D06" w:rsidRPr="007B1A66">
        <w:rPr>
          <w:rFonts w:ascii="Times New Roman" w:hAnsi="Times New Roman" w:cs="Times New Roman"/>
          <w:sz w:val="20"/>
          <w:szCs w:val="20"/>
        </w:rPr>
        <w:t>pas réussi les épreuves d’admissibilité d</w:t>
      </w:r>
      <w:r w:rsidRPr="007B1A66">
        <w:rPr>
          <w:rFonts w:ascii="Times New Roman" w:hAnsi="Times New Roman" w:cs="Times New Roman"/>
          <w:sz w:val="20"/>
          <w:szCs w:val="20"/>
        </w:rPr>
        <w:t>es concours</w:t>
      </w:r>
      <w:r w:rsidR="00EA3D06" w:rsidRPr="007B1A66">
        <w:rPr>
          <w:rFonts w:ascii="Times New Roman" w:hAnsi="Times New Roman" w:cs="Times New Roman"/>
          <w:sz w:val="20"/>
          <w:szCs w:val="20"/>
        </w:rPr>
        <w:t xml:space="preserve">, de réintégrer l’un des autres parcours </w:t>
      </w:r>
      <w:r w:rsidRPr="007B1A66">
        <w:rPr>
          <w:rFonts w:ascii="Times New Roman" w:hAnsi="Times New Roman" w:cs="Times New Roman"/>
          <w:sz w:val="20"/>
          <w:szCs w:val="20"/>
        </w:rPr>
        <w:t xml:space="preserve">de la mention donnée </w:t>
      </w:r>
      <w:r w:rsidR="00EA3D06" w:rsidRPr="007B1A66">
        <w:rPr>
          <w:rFonts w:ascii="Times New Roman" w:hAnsi="Times New Roman" w:cs="Times New Roman"/>
          <w:sz w:val="20"/>
          <w:szCs w:val="20"/>
        </w:rPr>
        <w:t>et d’obtenir un</w:t>
      </w:r>
      <w:r w:rsidRPr="007B1A66">
        <w:rPr>
          <w:rFonts w:ascii="Times New Roman" w:hAnsi="Times New Roman" w:cs="Times New Roman"/>
          <w:sz w:val="20"/>
          <w:szCs w:val="20"/>
        </w:rPr>
        <w:t xml:space="preserve"> </w:t>
      </w:r>
      <w:r w:rsidR="00EA3D06" w:rsidRPr="007B1A66">
        <w:rPr>
          <w:rFonts w:ascii="Times New Roman" w:hAnsi="Times New Roman" w:cs="Times New Roman"/>
          <w:sz w:val="20"/>
          <w:szCs w:val="20"/>
        </w:rPr>
        <w:t>diplôme reconnu et professionnalisant pour exercer dans des secteurs professionnels autres que ceux de</w:t>
      </w:r>
      <w:r w:rsidRPr="007B1A66">
        <w:rPr>
          <w:rFonts w:ascii="Times New Roman" w:hAnsi="Times New Roman" w:cs="Times New Roman"/>
          <w:sz w:val="20"/>
          <w:szCs w:val="20"/>
        </w:rPr>
        <w:t xml:space="preserve"> </w:t>
      </w:r>
      <w:r w:rsidR="00EA3D06" w:rsidRPr="007B1A66">
        <w:rPr>
          <w:rFonts w:ascii="Times New Roman" w:hAnsi="Times New Roman" w:cs="Times New Roman"/>
          <w:sz w:val="20"/>
          <w:szCs w:val="20"/>
        </w:rPr>
        <w:t>l’enseignement.</w:t>
      </w:r>
    </w:p>
    <w:p w:rsidR="004A63F0" w:rsidRPr="007B1A66" w:rsidRDefault="004A63F0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57C" w:rsidRPr="007B1A66" w:rsidRDefault="003F657C" w:rsidP="003F657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1.2-</w:t>
      </w:r>
      <w:r w:rsidRPr="007B1A66">
        <w:rPr>
          <w:rFonts w:ascii="Times New Roman" w:hAnsi="Times New Roman" w:cs="Times New Roman"/>
          <w:b/>
          <w:sz w:val="20"/>
          <w:szCs w:val="20"/>
        </w:rPr>
        <w:t xml:space="preserve"> C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 w:rsidRPr="007B1A66">
        <w:rPr>
          <w:rFonts w:ascii="Times New Roman" w:hAnsi="Times New Roman" w:cs="Times New Roman"/>
          <w:b/>
          <w:sz w:val="20"/>
          <w:szCs w:val="20"/>
        </w:rPr>
        <w:t xml:space="preserve">éation d’une mention de site : </w:t>
      </w:r>
    </w:p>
    <w:p w:rsidR="003F657C" w:rsidRPr="007B1A66" w:rsidRDefault="003F657C" w:rsidP="003F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A66">
        <w:rPr>
          <w:rFonts w:ascii="Times New Roman" w:hAnsi="Times New Roman" w:cs="Times New Roman"/>
          <w:sz w:val="20"/>
          <w:szCs w:val="20"/>
        </w:rPr>
        <w:t xml:space="preserve">Avec pour objectif de préparer les étudiants aux concours de professeur des écoles, pour les placer dans une dynamique professionnelle et de créer un vrai master autour de ces </w:t>
      </w:r>
      <w:r w:rsidR="001F12A8" w:rsidRPr="007B1A66">
        <w:rPr>
          <w:rFonts w:ascii="Times New Roman" w:hAnsi="Times New Roman" w:cs="Times New Roman"/>
          <w:sz w:val="20"/>
          <w:szCs w:val="20"/>
        </w:rPr>
        <w:t>problématiques,</w:t>
      </w:r>
      <w:r w:rsidRPr="007B1A66">
        <w:rPr>
          <w:rFonts w:ascii="Times New Roman" w:hAnsi="Times New Roman" w:cs="Times New Roman"/>
          <w:sz w:val="20"/>
          <w:szCs w:val="20"/>
        </w:rPr>
        <w:t xml:space="preserve"> les universités de Grenoble (1, 2 et 3 et l’université de Savoie se sont associées pour concevoir une  mention de site.  Cette  mention  qui porte l’intitulé de « Métiers de l’enseignement scolaire » est conçue avec un cadre commun à 3 spécialités thématiques (</w:t>
      </w:r>
      <w:r w:rsidR="001F12A8" w:rsidRPr="007B1A66">
        <w:rPr>
          <w:rFonts w:ascii="Times New Roman" w:hAnsi="Times New Roman" w:cs="Times New Roman"/>
          <w:sz w:val="20"/>
          <w:szCs w:val="20"/>
        </w:rPr>
        <w:t>cf.</w:t>
      </w:r>
      <w:r w:rsidRPr="007B1A66">
        <w:rPr>
          <w:rFonts w:ascii="Times New Roman" w:hAnsi="Times New Roman" w:cs="Times New Roman"/>
          <w:sz w:val="20"/>
          <w:szCs w:val="20"/>
        </w:rPr>
        <w:t xml:space="preserve"> tableau ci-dessous)  permettant de garder les étudiants au plus près de leur discipline d’origine, pour qu’ils puissent également, le cas échéant, réintégrer des parcours différents de celui préparatoire à l’enseignement au sein de spécialités autres </w:t>
      </w:r>
      <w:r w:rsidR="001F12A8">
        <w:rPr>
          <w:rFonts w:ascii="Times New Roman" w:hAnsi="Times New Roman" w:cs="Times New Roman"/>
          <w:sz w:val="20"/>
          <w:szCs w:val="20"/>
        </w:rPr>
        <w:t xml:space="preserve">dans les </w:t>
      </w:r>
      <w:r w:rsidRPr="007B1A66">
        <w:rPr>
          <w:rFonts w:ascii="Times New Roman" w:hAnsi="Times New Roman" w:cs="Times New Roman"/>
          <w:sz w:val="20"/>
          <w:szCs w:val="20"/>
        </w:rPr>
        <w:t>mentions de master disciplinaire dont ils sont issus.</w:t>
      </w:r>
    </w:p>
    <w:p w:rsidR="003F657C" w:rsidRDefault="003F657C" w:rsidP="007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4903" w:rsidRPr="007B1A66" w:rsidRDefault="007B1A66" w:rsidP="007B1A66">
      <w:pPr>
        <w:jc w:val="center"/>
        <w:rPr>
          <w:b/>
          <w:sz w:val="20"/>
          <w:szCs w:val="20"/>
        </w:rPr>
      </w:pPr>
      <w:r w:rsidRPr="007B1A66">
        <w:rPr>
          <w:b/>
          <w:sz w:val="20"/>
          <w:szCs w:val="20"/>
        </w:rPr>
        <w:t>Tableau synthétique des formations</w:t>
      </w:r>
    </w:p>
    <w:p w:rsidR="00454903" w:rsidRPr="007B1A66" w:rsidRDefault="00454903" w:rsidP="00454903">
      <w:pPr>
        <w:rPr>
          <w:b/>
          <w:sz w:val="20"/>
          <w:szCs w:val="20"/>
        </w:rPr>
      </w:pPr>
      <w:r w:rsidRPr="007B1A66">
        <w:rPr>
          <w:b/>
          <w:sz w:val="20"/>
          <w:szCs w:val="20"/>
        </w:rPr>
        <w:t>1</w:t>
      </w:r>
      <w:r w:rsidR="003F657C">
        <w:rPr>
          <w:b/>
          <w:sz w:val="20"/>
          <w:szCs w:val="20"/>
        </w:rPr>
        <w:t>.1</w:t>
      </w:r>
      <w:r w:rsidRPr="007B1A66">
        <w:rPr>
          <w:sz w:val="20"/>
          <w:szCs w:val="20"/>
        </w:rPr>
        <w:t xml:space="preserve"> </w:t>
      </w:r>
      <w:r w:rsidRPr="007B1A66">
        <w:rPr>
          <w:b/>
          <w:sz w:val="20"/>
          <w:szCs w:val="20"/>
        </w:rPr>
        <w:t>Adaptation de parcours</w:t>
      </w:r>
      <w:r w:rsidRPr="007B1A66">
        <w:rPr>
          <w:sz w:val="20"/>
          <w:szCs w:val="20"/>
        </w:rPr>
        <w:t xml:space="preserve"> au sein de masters habilités : liste des mention</w:t>
      </w:r>
      <w:r w:rsidR="00766811" w:rsidRPr="007B1A66">
        <w:rPr>
          <w:sz w:val="20"/>
          <w:szCs w:val="20"/>
        </w:rPr>
        <w:t>s</w:t>
      </w:r>
      <w:r w:rsidRPr="007B1A66">
        <w:rPr>
          <w:sz w:val="20"/>
          <w:szCs w:val="20"/>
        </w:rPr>
        <w:t xml:space="preserve"> de master et spécialité</w:t>
      </w:r>
      <w:r w:rsidR="001F12A8">
        <w:rPr>
          <w:sz w:val="20"/>
          <w:szCs w:val="20"/>
        </w:rPr>
        <w:t>(s)</w:t>
      </w:r>
      <w:r w:rsidRPr="007B1A66">
        <w:rPr>
          <w:sz w:val="20"/>
          <w:szCs w:val="20"/>
        </w:rPr>
        <w:t xml:space="preserve"> concernés</w:t>
      </w:r>
      <w:r w:rsidR="00634457" w:rsidRPr="007B1A66">
        <w:rPr>
          <w:sz w:val="20"/>
          <w:szCs w:val="20"/>
        </w:rPr>
        <w:t xml:space="preserve"> </w:t>
      </w:r>
      <w:r w:rsidR="00634457" w:rsidRPr="007B1A66">
        <w:rPr>
          <w:b/>
          <w:sz w:val="20"/>
          <w:szCs w:val="20"/>
        </w:rPr>
        <w:t>pour ouverture à la rentrée 2010</w:t>
      </w:r>
    </w:p>
    <w:tbl>
      <w:tblPr>
        <w:tblStyle w:val="Grilledutableau"/>
        <w:tblW w:w="9180" w:type="dxa"/>
        <w:tblLayout w:type="fixed"/>
        <w:tblLook w:val="04A0"/>
      </w:tblPr>
      <w:tblGrid>
        <w:gridCol w:w="1214"/>
        <w:gridCol w:w="1871"/>
        <w:gridCol w:w="1843"/>
        <w:gridCol w:w="2126"/>
        <w:gridCol w:w="2126"/>
      </w:tblGrid>
      <w:tr w:rsidR="00634457" w:rsidRPr="00634457" w:rsidTr="007B2157">
        <w:tc>
          <w:tcPr>
            <w:tcW w:w="1214" w:type="dxa"/>
            <w:shd w:val="clear" w:color="auto" w:fill="FFC000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Concours</w:t>
            </w:r>
          </w:p>
        </w:tc>
        <w:tc>
          <w:tcPr>
            <w:tcW w:w="1871" w:type="dxa"/>
            <w:shd w:val="clear" w:color="auto" w:fill="FFC000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Mention de master</w:t>
            </w:r>
          </w:p>
          <w:p w:rsidR="00634457" w:rsidRPr="00634457" w:rsidRDefault="00634457" w:rsidP="00937F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Et N° Habilitation </w:t>
            </w:r>
          </w:p>
        </w:tc>
        <w:tc>
          <w:tcPr>
            <w:tcW w:w="1843" w:type="dxa"/>
            <w:shd w:val="clear" w:color="auto" w:fill="FFC000"/>
          </w:tcPr>
          <w:p w:rsidR="00634457" w:rsidRPr="00634457" w:rsidRDefault="00634457" w:rsidP="0093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Spécialité adaptée</w:t>
            </w:r>
          </w:p>
        </w:tc>
        <w:tc>
          <w:tcPr>
            <w:tcW w:w="2126" w:type="dxa"/>
            <w:shd w:val="clear" w:color="auto" w:fill="FFC000"/>
          </w:tcPr>
          <w:p w:rsidR="00634457" w:rsidRPr="00634457" w:rsidRDefault="00634457" w:rsidP="007B2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Nature de l’adaptation </w:t>
            </w:r>
            <w:r w:rsidRPr="00FA7CB1">
              <w:rPr>
                <w:rFonts w:ascii="Times New Roman" w:hAnsi="Times New Roman" w:cs="Times New Roman"/>
                <w:sz w:val="18"/>
                <w:szCs w:val="18"/>
              </w:rPr>
              <w:t xml:space="preserve">(voir programme </w:t>
            </w:r>
            <w:r w:rsidR="007B2157">
              <w:rPr>
                <w:rFonts w:ascii="Times New Roman" w:hAnsi="Times New Roman" w:cs="Times New Roman"/>
                <w:sz w:val="18"/>
                <w:szCs w:val="18"/>
              </w:rPr>
              <w:t xml:space="preserve">joint </w:t>
            </w:r>
            <w:r w:rsidRPr="00FA7CB1">
              <w:rPr>
                <w:rFonts w:ascii="Times New Roman" w:hAnsi="Times New Roman" w:cs="Times New Roman"/>
                <w:sz w:val="18"/>
                <w:szCs w:val="18"/>
              </w:rPr>
              <w:t>en annexe)</w:t>
            </w:r>
          </w:p>
        </w:tc>
        <w:tc>
          <w:tcPr>
            <w:tcW w:w="2126" w:type="dxa"/>
            <w:shd w:val="clear" w:color="auto" w:fill="FFFFFF" w:themeFill="background1"/>
          </w:tcPr>
          <w:p w:rsidR="00634457" w:rsidRPr="00FA7CB1" w:rsidRDefault="00634457" w:rsidP="00937F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Evolution envisagée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maquette 2011-2014 (vague A) </w:t>
            </w:r>
            <w:r w:rsid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expertise en cours</w:t>
            </w:r>
          </w:p>
        </w:tc>
      </w:tr>
      <w:tr w:rsidR="00634457" w:rsidRPr="00634457" w:rsidTr="00634457">
        <w:tc>
          <w:tcPr>
            <w:tcW w:w="1214" w:type="dxa"/>
          </w:tcPr>
          <w:p w:rsidR="00634457" w:rsidRPr="001535EA" w:rsidRDefault="00634457" w:rsidP="00937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t>Capes Philosophie</w:t>
            </w:r>
          </w:p>
        </w:tc>
        <w:tc>
          <w:tcPr>
            <w:tcW w:w="1871" w:type="dxa"/>
          </w:tcPr>
          <w:p w:rsidR="00634457" w:rsidRPr="00634457" w:rsidRDefault="00634457" w:rsidP="0093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Philosophie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20040254)</w:t>
            </w:r>
          </w:p>
        </w:tc>
        <w:tc>
          <w:tcPr>
            <w:tcW w:w="1843" w:type="dxa"/>
          </w:tcPr>
          <w:p w:rsidR="00634457" w:rsidRPr="00634457" w:rsidRDefault="00634457" w:rsidP="0016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Philosophie et langages (R)</w:t>
            </w:r>
          </w:p>
        </w:tc>
        <w:tc>
          <w:tcPr>
            <w:tcW w:w="2126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Parcours dédié « enseignement »</w:t>
            </w:r>
          </w:p>
          <w:p w:rsidR="00634457" w:rsidRPr="00634457" w:rsidRDefault="00634457" w:rsidP="0016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- Adaptation du M1 et du M2</w:t>
            </w:r>
          </w:p>
          <w:p w:rsidR="00634457" w:rsidRPr="00634457" w:rsidRDefault="00634457" w:rsidP="00167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4457" w:rsidRPr="00FA7CB1" w:rsidRDefault="007944C9" w:rsidP="007B21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Idem au sein d’une spécialité dont l’intitulé évolue : histoire de la </w:t>
            </w:r>
            <w:r w:rsidR="007B2157">
              <w:rPr>
                <w:rFonts w:ascii="Times New Roman" w:hAnsi="Times New Roman" w:cs="Times New Roman"/>
                <w:i/>
                <w:sz w:val="20"/>
                <w:szCs w:val="20"/>
              </w:rPr>
              <w:t>« 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Philosophie et philosophie du langage</w:t>
            </w:r>
            <w:r w:rsidR="007B21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» -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7B21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cohabilitée avec Lyon 3 et l’ENS de lyon</w:t>
            </w:r>
          </w:p>
        </w:tc>
      </w:tr>
      <w:tr w:rsidR="00634457" w:rsidRPr="00634457" w:rsidTr="00634457">
        <w:tc>
          <w:tcPr>
            <w:tcW w:w="1214" w:type="dxa"/>
          </w:tcPr>
          <w:p w:rsidR="00634457" w:rsidRPr="001535EA" w:rsidRDefault="00634457" w:rsidP="00DE0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t>Capes SES</w:t>
            </w:r>
          </w:p>
        </w:tc>
        <w:tc>
          <w:tcPr>
            <w:tcW w:w="1871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Economie internationale et globalisation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20040252)</w:t>
            </w:r>
          </w:p>
        </w:tc>
        <w:tc>
          <w:tcPr>
            <w:tcW w:w="1843" w:type="dxa"/>
          </w:tcPr>
          <w:p w:rsidR="00634457" w:rsidRPr="00634457" w:rsidRDefault="00634457" w:rsidP="005D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Politiques économiques et sociales (R)</w:t>
            </w:r>
          </w:p>
        </w:tc>
        <w:tc>
          <w:tcPr>
            <w:tcW w:w="2126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- Adaptation du M1 et </w:t>
            </w:r>
          </w:p>
          <w:p w:rsidR="00634457" w:rsidRPr="00634457" w:rsidRDefault="00330439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34457" w:rsidRPr="00634457">
              <w:rPr>
                <w:rFonts w:ascii="Times New Roman" w:hAnsi="Times New Roman" w:cs="Times New Roman"/>
                <w:sz w:val="20"/>
                <w:szCs w:val="20"/>
              </w:rPr>
              <w:t>arcours dédié en M2 « MEF » (métiers de l’enseignement et de la formation)</w:t>
            </w:r>
          </w:p>
        </w:tc>
        <w:tc>
          <w:tcPr>
            <w:tcW w:w="2126" w:type="dxa"/>
          </w:tcPr>
          <w:p w:rsidR="00634457" w:rsidRPr="00FA7CB1" w:rsidRDefault="007944C9" w:rsidP="00FA7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Egalement adaptation d</w:t>
            </w:r>
            <w:r w:rsidR="00FA7CB1"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M1 et d</w:t>
            </w:r>
            <w:r w:rsidR="00FA7CB1"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’un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parcours dédié mais au sein d’une mention au périmètre resserré «</w:t>
            </w:r>
            <w:r w:rsidR="00FA7CB1"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Ingénierie économique et entreprise »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8744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P -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 </w:t>
            </w:r>
          </w:p>
        </w:tc>
      </w:tr>
      <w:tr w:rsidR="00634457" w:rsidRPr="00634457" w:rsidTr="00634457">
        <w:tc>
          <w:tcPr>
            <w:tcW w:w="1214" w:type="dxa"/>
          </w:tcPr>
          <w:p w:rsidR="004B1258" w:rsidRDefault="004B1258" w:rsidP="00DE0D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1258" w:rsidRDefault="004B1258" w:rsidP="00DE0D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4457" w:rsidRPr="001535EA" w:rsidRDefault="00634457" w:rsidP="00DE0D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Capet Economie-Gestion</w:t>
            </w:r>
          </w:p>
        </w:tc>
        <w:tc>
          <w:tcPr>
            <w:tcW w:w="1871" w:type="dxa"/>
          </w:tcPr>
          <w:p w:rsidR="004B1258" w:rsidRDefault="004B1258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258" w:rsidRDefault="004B1258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Economie internationale et globalisation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20040252)</w:t>
            </w:r>
          </w:p>
        </w:tc>
        <w:tc>
          <w:tcPr>
            <w:tcW w:w="1843" w:type="dxa"/>
          </w:tcPr>
          <w:p w:rsidR="004B1258" w:rsidRDefault="004B1258" w:rsidP="0076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258" w:rsidRDefault="004B1258" w:rsidP="0076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457" w:rsidRPr="00634457" w:rsidRDefault="00634457" w:rsidP="0076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Diagnostic des firmes en concurrence internationale (P)</w:t>
            </w:r>
          </w:p>
        </w:tc>
        <w:tc>
          <w:tcPr>
            <w:tcW w:w="2126" w:type="dxa"/>
          </w:tcPr>
          <w:p w:rsidR="004B1258" w:rsidRDefault="004B1258" w:rsidP="005D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258" w:rsidRDefault="004B1258" w:rsidP="005D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457" w:rsidRPr="00634457" w:rsidRDefault="00634457" w:rsidP="005D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Adaptation du M1 et </w:t>
            </w:r>
          </w:p>
          <w:p w:rsidR="00634457" w:rsidRPr="00634457" w:rsidRDefault="00330439" w:rsidP="005D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34457" w:rsidRPr="00634457">
              <w:rPr>
                <w:rFonts w:ascii="Times New Roman" w:hAnsi="Times New Roman" w:cs="Times New Roman"/>
                <w:sz w:val="20"/>
                <w:szCs w:val="20"/>
              </w:rPr>
              <w:t>arcours dédié en M2 (préparation Capet Economie-gestion)</w:t>
            </w:r>
          </w:p>
        </w:tc>
        <w:tc>
          <w:tcPr>
            <w:tcW w:w="2126" w:type="dxa"/>
          </w:tcPr>
          <w:p w:rsidR="004B1258" w:rsidRDefault="004B1258" w:rsidP="00FA7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B1258" w:rsidRDefault="004B1258" w:rsidP="00FA7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4457" w:rsidRPr="00FA7CB1" w:rsidRDefault="00FA7CB1" w:rsidP="00FA7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Egalement adaptation du M1 et d’un parcours dédié mais au sein d’une mention au périmètre resserré «Ingénierie économique et entreprise » </w:t>
            </w:r>
            <w:r w:rsidR="008744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P -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634457" w:rsidRPr="00634457" w:rsidTr="00634457">
        <w:tc>
          <w:tcPr>
            <w:tcW w:w="1214" w:type="dxa"/>
          </w:tcPr>
          <w:p w:rsidR="00634457" w:rsidRPr="001535EA" w:rsidRDefault="00634457" w:rsidP="004B12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Capes Documentation</w:t>
            </w:r>
          </w:p>
        </w:tc>
        <w:tc>
          <w:tcPr>
            <w:tcW w:w="1871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Sociologie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20040364)</w:t>
            </w:r>
          </w:p>
        </w:tc>
        <w:tc>
          <w:tcPr>
            <w:tcW w:w="1843" w:type="dxa"/>
          </w:tcPr>
          <w:p w:rsidR="00265F28" w:rsidRPr="00265F28" w:rsidRDefault="00265F28" w:rsidP="00265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8">
              <w:rPr>
                <w:rFonts w:ascii="Times New Roman" w:hAnsi="Times New Roman" w:cs="Times New Roman"/>
                <w:sz w:val="20"/>
                <w:szCs w:val="20"/>
              </w:rPr>
              <w:t>Art, culture et</w:t>
            </w:r>
          </w:p>
          <w:p w:rsidR="00634457" w:rsidRPr="00634457" w:rsidRDefault="00265F28" w:rsidP="00265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28">
              <w:rPr>
                <w:rFonts w:ascii="Times New Roman" w:hAnsi="Times New Roman" w:cs="Times New Roman"/>
                <w:sz w:val="20"/>
                <w:szCs w:val="20"/>
              </w:rPr>
              <w:t>médiations techniques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(R/P)</w:t>
            </w:r>
          </w:p>
        </w:tc>
        <w:tc>
          <w:tcPr>
            <w:tcW w:w="2126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Parcours dédié Capes documentation</w:t>
            </w:r>
          </w:p>
        </w:tc>
        <w:tc>
          <w:tcPr>
            <w:tcW w:w="2126" w:type="dxa"/>
          </w:tcPr>
          <w:p w:rsidR="00634457" w:rsidRPr="00634457" w:rsidRDefault="00FA7CB1" w:rsidP="00FA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Egalement adaptation du M1 et d’un parcours dédié mais au sein d’une mention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reformatée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Productions et médiation de l’</w:t>
            </w:r>
            <w:r w:rsidR="001535EA">
              <w:rPr>
                <w:rFonts w:ascii="Times New Roman" w:hAnsi="Times New Roman" w:cs="Times New Roman"/>
                <w:i/>
                <w:sz w:val="20"/>
                <w:szCs w:val="20"/>
              </w:rPr>
              <w:t>œuvre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 »</w:t>
            </w:r>
            <w:r w:rsidR="008744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P - </w:t>
            </w: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  </w:t>
            </w:r>
          </w:p>
        </w:tc>
      </w:tr>
      <w:tr w:rsidR="00634457" w:rsidRPr="00634457" w:rsidTr="00634457">
        <w:tc>
          <w:tcPr>
            <w:tcW w:w="1214" w:type="dxa"/>
          </w:tcPr>
          <w:p w:rsidR="00634457" w:rsidRPr="001535EA" w:rsidRDefault="00634457" w:rsidP="004549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t>CPE (conseiller principal d’éducation)</w:t>
            </w:r>
          </w:p>
        </w:tc>
        <w:tc>
          <w:tcPr>
            <w:tcW w:w="1871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Sciences de l’éducation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20040365)</w:t>
            </w:r>
          </w:p>
        </w:tc>
        <w:tc>
          <w:tcPr>
            <w:tcW w:w="1843" w:type="dxa"/>
          </w:tcPr>
          <w:p w:rsidR="00634457" w:rsidRPr="00634457" w:rsidRDefault="00634457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Enseignement, apprentissage et formation (P)</w:t>
            </w:r>
          </w:p>
        </w:tc>
        <w:tc>
          <w:tcPr>
            <w:tcW w:w="2126" w:type="dxa"/>
          </w:tcPr>
          <w:p w:rsidR="00634457" w:rsidRPr="00634457" w:rsidRDefault="00634457" w:rsidP="0016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Parcours adapté en M1 et M2 à la formation des Conseillers principaux d’éducation »</w:t>
            </w:r>
          </w:p>
        </w:tc>
        <w:tc>
          <w:tcPr>
            <w:tcW w:w="2126" w:type="dxa"/>
          </w:tcPr>
          <w:p w:rsidR="00634457" w:rsidRPr="00634457" w:rsidRDefault="001535EA" w:rsidP="0087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Egalement adaptation du M1 et d’un parcours dédié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 sein d’une spécialité reformatée « ingénierie de la formation</w:t>
            </w:r>
            <w:r w:rsidR="008744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P -</w:t>
            </w:r>
          </w:p>
        </w:tc>
      </w:tr>
      <w:tr w:rsidR="008744FC" w:rsidRPr="00634457" w:rsidTr="00634457">
        <w:tc>
          <w:tcPr>
            <w:tcW w:w="1214" w:type="dxa"/>
          </w:tcPr>
          <w:p w:rsidR="008744FC" w:rsidRPr="001535EA" w:rsidRDefault="008744FC" w:rsidP="008744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5EA">
              <w:rPr>
                <w:rFonts w:ascii="Times New Roman" w:hAnsi="Times New Roman" w:cs="Times New Roman"/>
                <w:sz w:val="18"/>
                <w:szCs w:val="18"/>
              </w:rPr>
              <w:t xml:space="preserve">Capes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Education musicale et chant choral</w:t>
            </w:r>
          </w:p>
        </w:tc>
        <w:tc>
          <w:tcPr>
            <w:tcW w:w="1871" w:type="dxa"/>
          </w:tcPr>
          <w:p w:rsidR="008744FC" w:rsidRPr="00634457" w:rsidRDefault="008744FC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Histoire et Histoire de l’art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20040359)</w:t>
            </w:r>
          </w:p>
        </w:tc>
        <w:tc>
          <w:tcPr>
            <w:tcW w:w="1843" w:type="dxa"/>
          </w:tcPr>
          <w:p w:rsidR="008744FC" w:rsidRPr="00634457" w:rsidRDefault="008744FC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Histoire de l’art (R/P)</w:t>
            </w:r>
          </w:p>
        </w:tc>
        <w:tc>
          <w:tcPr>
            <w:tcW w:w="2126" w:type="dxa"/>
          </w:tcPr>
          <w:p w:rsidR="008744FC" w:rsidRPr="00634457" w:rsidRDefault="008744FC" w:rsidP="0087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Parcours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adapté en M1 et M2 </w:t>
            </w:r>
          </w:p>
        </w:tc>
        <w:tc>
          <w:tcPr>
            <w:tcW w:w="2126" w:type="dxa"/>
          </w:tcPr>
          <w:p w:rsidR="008744FC" w:rsidRPr="00634457" w:rsidRDefault="008744FC" w:rsidP="0087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B1">
              <w:rPr>
                <w:rFonts w:ascii="Times New Roman" w:hAnsi="Times New Roman" w:cs="Times New Roman"/>
                <w:i/>
                <w:sz w:val="20"/>
                <w:szCs w:val="20"/>
              </w:rPr>
              <w:t>Egalement adaptation du M1 et d’un parcours dédié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 sein d’une spécialité reformatée et intégrant l’intitulé de musicologie « histoire de l’art et musicologie » -R/P-</w:t>
            </w:r>
          </w:p>
        </w:tc>
      </w:tr>
      <w:tr w:rsidR="003F657C" w:rsidRPr="00634457" w:rsidTr="00980BF0">
        <w:tc>
          <w:tcPr>
            <w:tcW w:w="1214" w:type="dxa"/>
          </w:tcPr>
          <w:p w:rsidR="003F657C" w:rsidRPr="001535EA" w:rsidRDefault="003F657C" w:rsidP="003F6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Capes Histoire-géographie</w:t>
            </w:r>
          </w:p>
        </w:tc>
        <w:tc>
          <w:tcPr>
            <w:tcW w:w="1871" w:type="dxa"/>
          </w:tcPr>
          <w:p w:rsidR="003F657C" w:rsidRPr="00634457" w:rsidRDefault="003F657C" w:rsidP="00454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Histoire et Histoire de l’art </w:t>
            </w: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20040359)</w:t>
            </w:r>
          </w:p>
        </w:tc>
        <w:tc>
          <w:tcPr>
            <w:tcW w:w="6095" w:type="dxa"/>
            <w:gridSpan w:val="3"/>
          </w:tcPr>
          <w:p w:rsidR="003F657C" w:rsidRPr="00FA7CB1" w:rsidRDefault="003F657C" w:rsidP="003F65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Uniquement adaptation du M1 avec parcours « enseignement secondaire » commun aux deux spécialités recherche « Histoire des relations et échanges culturels internationaux et « sociétés et économies des mondes modernes et contemporains », préalable à la demande de création de spécialité de M2 formulée pour 2011. </w:t>
            </w:r>
          </w:p>
        </w:tc>
      </w:tr>
    </w:tbl>
    <w:p w:rsidR="001F12A8" w:rsidRDefault="001F12A8" w:rsidP="00454903">
      <w:pPr>
        <w:rPr>
          <w:rFonts w:ascii="Times New Roman" w:hAnsi="Times New Roman" w:cs="Times New Roman"/>
          <w:b/>
          <w:sz w:val="20"/>
          <w:szCs w:val="20"/>
        </w:rPr>
      </w:pPr>
    </w:p>
    <w:p w:rsidR="001F12A8" w:rsidRDefault="001F12A8" w:rsidP="00454903">
      <w:pPr>
        <w:rPr>
          <w:rFonts w:ascii="Times New Roman" w:hAnsi="Times New Roman" w:cs="Times New Roman"/>
          <w:b/>
          <w:sz w:val="20"/>
          <w:szCs w:val="20"/>
        </w:rPr>
      </w:pPr>
    </w:p>
    <w:p w:rsidR="001F12A8" w:rsidRDefault="001F12A8" w:rsidP="00454903">
      <w:pPr>
        <w:rPr>
          <w:rFonts w:ascii="Times New Roman" w:hAnsi="Times New Roman" w:cs="Times New Roman"/>
          <w:b/>
          <w:sz w:val="20"/>
          <w:szCs w:val="20"/>
        </w:rPr>
      </w:pPr>
    </w:p>
    <w:p w:rsidR="007B2157" w:rsidRDefault="003F657C" w:rsidP="0045490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1.2</w:t>
      </w:r>
      <w:r w:rsidR="00937FEF" w:rsidRPr="00634457">
        <w:rPr>
          <w:rFonts w:ascii="Times New Roman" w:hAnsi="Times New Roman" w:cs="Times New Roman"/>
          <w:sz w:val="20"/>
          <w:szCs w:val="20"/>
        </w:rPr>
        <w:t xml:space="preserve"> </w:t>
      </w:r>
      <w:r w:rsidR="007B2157" w:rsidRPr="00D14FDB">
        <w:rPr>
          <w:rFonts w:ascii="Times New Roman" w:hAnsi="Times New Roman" w:cs="Times New Roman"/>
          <w:b/>
          <w:sz w:val="20"/>
          <w:szCs w:val="20"/>
        </w:rPr>
        <w:t xml:space="preserve">Création de </w:t>
      </w:r>
      <w:r w:rsidR="007B2157">
        <w:rPr>
          <w:rFonts w:ascii="Times New Roman" w:hAnsi="Times New Roman" w:cs="Times New Roman"/>
          <w:b/>
          <w:sz w:val="20"/>
          <w:szCs w:val="20"/>
        </w:rPr>
        <w:t>mention</w:t>
      </w:r>
      <w:r w:rsidR="007B2157" w:rsidRPr="00D14FDB">
        <w:rPr>
          <w:rFonts w:ascii="Times New Roman" w:hAnsi="Times New Roman" w:cs="Times New Roman"/>
          <w:sz w:val="20"/>
          <w:szCs w:val="20"/>
        </w:rPr>
        <w:t xml:space="preserve"> </w:t>
      </w:r>
      <w:r w:rsidR="007B2157" w:rsidRPr="00D14FDB">
        <w:rPr>
          <w:rFonts w:ascii="Times New Roman" w:hAnsi="Times New Roman" w:cs="Times New Roman"/>
          <w:b/>
          <w:sz w:val="20"/>
          <w:szCs w:val="20"/>
        </w:rPr>
        <w:t>pour ouverture à la rentrée 2010</w:t>
      </w:r>
      <w:r w:rsidR="007B21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157" w:rsidRPr="007B2157">
        <w:rPr>
          <w:rFonts w:ascii="Times New Roman" w:hAnsi="Times New Roman" w:cs="Times New Roman"/>
          <w:sz w:val="20"/>
          <w:szCs w:val="20"/>
        </w:rPr>
        <w:t>(</w:t>
      </w:r>
      <w:r w:rsidR="007B2157">
        <w:rPr>
          <w:rFonts w:ascii="Times New Roman" w:hAnsi="Times New Roman" w:cs="Times New Roman"/>
          <w:sz w:val="20"/>
          <w:szCs w:val="20"/>
          <w:u w:val="single"/>
        </w:rPr>
        <w:t>envoi du dossier par Grenoble 1</w:t>
      </w:r>
      <w:r w:rsidR="007B2157" w:rsidRPr="007B2157">
        <w:rPr>
          <w:rFonts w:ascii="Times New Roman" w:hAnsi="Times New Roman" w:cs="Times New Roman"/>
          <w:sz w:val="20"/>
          <w:szCs w:val="20"/>
          <w:u w:val="single"/>
        </w:rPr>
        <w:t>)</w:t>
      </w:r>
    </w:p>
    <w:tbl>
      <w:tblPr>
        <w:tblStyle w:val="Grilledutableau"/>
        <w:tblW w:w="0" w:type="auto"/>
        <w:tblLook w:val="04A0"/>
      </w:tblPr>
      <w:tblGrid>
        <w:gridCol w:w="1928"/>
        <w:gridCol w:w="2576"/>
        <w:gridCol w:w="2692"/>
        <w:gridCol w:w="2092"/>
      </w:tblGrid>
      <w:tr w:rsidR="007B2157" w:rsidRPr="00634457" w:rsidTr="001F12A8">
        <w:tc>
          <w:tcPr>
            <w:tcW w:w="1928" w:type="dxa"/>
            <w:shd w:val="clear" w:color="auto" w:fill="FFC000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Concours</w:t>
            </w:r>
          </w:p>
        </w:tc>
        <w:tc>
          <w:tcPr>
            <w:tcW w:w="2576" w:type="dxa"/>
            <w:shd w:val="clear" w:color="auto" w:fill="FFC000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Mention de master</w:t>
            </w:r>
          </w:p>
          <w:p w:rsidR="007B2157" w:rsidRPr="00634457" w:rsidRDefault="007B2157" w:rsidP="00C468E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C000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Création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spécialité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92" w:type="dxa"/>
            <w:shd w:val="clear" w:color="auto" w:fill="FFC000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Etablissement co habilité</w:t>
            </w:r>
          </w:p>
        </w:tc>
      </w:tr>
      <w:tr w:rsidR="007B2157" w:rsidRPr="007B2157" w:rsidTr="00C468E0">
        <w:tc>
          <w:tcPr>
            <w:tcW w:w="1928" w:type="dxa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Professorat des écoles</w:t>
            </w:r>
          </w:p>
        </w:tc>
        <w:tc>
          <w:tcPr>
            <w:tcW w:w="2576" w:type="dxa"/>
          </w:tcPr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Métiers de l’enseignement </w:t>
            </w:r>
            <w:r w:rsidR="00B328B5">
              <w:rPr>
                <w:rFonts w:ascii="Times New Roman" w:hAnsi="Times New Roman" w:cs="Times New Roman"/>
                <w:sz w:val="20"/>
                <w:szCs w:val="20"/>
              </w:rPr>
              <w:t>scolaire</w:t>
            </w:r>
          </w:p>
        </w:tc>
        <w:tc>
          <w:tcPr>
            <w:tcW w:w="2692" w:type="dxa"/>
          </w:tcPr>
          <w:p w:rsidR="007B2157" w:rsidRDefault="007B2157" w:rsidP="007B215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Enseignement primaire  -sciences et technologies</w:t>
            </w:r>
          </w:p>
          <w:p w:rsidR="007B2157" w:rsidRDefault="007B2157" w:rsidP="007B215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Enseignement primaire - Lettres, langues, langages</w:t>
            </w:r>
          </w:p>
          <w:p w:rsidR="007B2157" w:rsidRPr="007B2157" w:rsidRDefault="00B328B5" w:rsidP="007B2157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Enseignement primaire – Sciences humaines et sociales</w:t>
            </w:r>
          </w:p>
          <w:p w:rsidR="007B21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57" w:rsidRPr="006344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7B21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Spécialité co-habilitée avec Grenoble 1</w:t>
            </w:r>
            <w:r w:rsidR="00B328B5">
              <w:rPr>
                <w:rFonts w:ascii="Times New Roman" w:hAnsi="Times New Roman" w:cs="Times New Roman"/>
                <w:sz w:val="20"/>
                <w:szCs w:val="20"/>
              </w:rPr>
              <w:t>, Grenoble 3 et U de Chambéry</w:t>
            </w:r>
          </w:p>
          <w:p w:rsidR="007B2157" w:rsidRDefault="007B2157" w:rsidP="00C46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157" w:rsidRDefault="007B2157" w:rsidP="00B328B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21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Dossier transmis par Grenoble </w:t>
            </w:r>
            <w:r w:rsidR="00B32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B328B5" w:rsidRDefault="00B328B5" w:rsidP="00B328B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328B5" w:rsidRPr="00B328B5" w:rsidRDefault="00B328B5" w:rsidP="00B3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8B5">
              <w:rPr>
                <w:rFonts w:ascii="Times New Roman" w:hAnsi="Times New Roman" w:cs="Times New Roman"/>
                <w:sz w:val="20"/>
                <w:szCs w:val="20"/>
              </w:rPr>
              <w:t>(Pour Grenoble 2 fiche saisie sur idg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  <w:r w:rsidRPr="00B328B5">
              <w:rPr>
                <w:rFonts w:ascii="Times New Roman" w:hAnsi="Times New Roman" w:cs="Times New Roman"/>
                <w:sz w:val="20"/>
                <w:szCs w:val="20"/>
              </w:rPr>
              <w:t xml:space="preserve"> sous le N° 20100835)</w:t>
            </w:r>
          </w:p>
          <w:p w:rsidR="00B328B5" w:rsidRPr="007B2157" w:rsidRDefault="00B328B5" w:rsidP="00B328B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937FEF" w:rsidRDefault="007B2157" w:rsidP="00454903">
      <w:pPr>
        <w:rPr>
          <w:rFonts w:ascii="Times New Roman" w:hAnsi="Times New Roman" w:cs="Times New Roman"/>
          <w:sz w:val="20"/>
          <w:szCs w:val="20"/>
        </w:rPr>
      </w:pPr>
      <w:r w:rsidRPr="006344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657C" w:rsidRDefault="003F657C" w:rsidP="00454903">
      <w:pPr>
        <w:rPr>
          <w:rFonts w:ascii="Times New Roman" w:hAnsi="Times New Roman" w:cs="Times New Roman"/>
          <w:sz w:val="20"/>
          <w:szCs w:val="20"/>
        </w:rPr>
      </w:pPr>
    </w:p>
    <w:p w:rsidR="001F12A8" w:rsidRDefault="001F12A8" w:rsidP="00454903">
      <w:pPr>
        <w:rPr>
          <w:rFonts w:ascii="Times New Roman" w:hAnsi="Times New Roman" w:cs="Times New Roman"/>
          <w:sz w:val="20"/>
          <w:szCs w:val="20"/>
        </w:rPr>
      </w:pPr>
    </w:p>
    <w:p w:rsidR="003F657C" w:rsidRDefault="003F657C" w:rsidP="003F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12A8" w:rsidRDefault="001F12A8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57C" w:rsidRDefault="003F657C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Pr="003F657C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 xml:space="preserve">Habilitation 2011-2014 (ouverture à la rentrée </w:t>
      </w:r>
      <w:r w:rsidRPr="003F657C">
        <w:rPr>
          <w:rFonts w:ascii="Times New Roman" w:hAnsi="Times New Roman" w:cs="Times New Roman"/>
          <w:b/>
        </w:rPr>
        <w:t>universitaire 201</w:t>
      </w:r>
      <w:r>
        <w:rPr>
          <w:rFonts w:ascii="Times New Roman" w:hAnsi="Times New Roman" w:cs="Times New Roman"/>
          <w:b/>
        </w:rPr>
        <w:t>1)</w:t>
      </w:r>
    </w:p>
    <w:p w:rsidR="001F12A8" w:rsidRPr="003F657C" w:rsidRDefault="001F12A8" w:rsidP="003F657C">
      <w:pPr>
        <w:shd w:val="clear" w:color="auto" w:fill="8DB3E2" w:themeFill="tex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657C" w:rsidRDefault="003F657C" w:rsidP="003F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2A8" w:rsidRPr="00D14FDB" w:rsidRDefault="003F657C" w:rsidP="001F12A8">
      <w:pPr>
        <w:rPr>
          <w:rFonts w:ascii="Times New Roman" w:hAnsi="Times New Roman" w:cs="Times New Roman"/>
          <w:b/>
          <w:sz w:val="20"/>
          <w:szCs w:val="20"/>
        </w:rPr>
      </w:pPr>
      <w:r w:rsidRPr="007B1A66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.1-</w:t>
      </w:r>
      <w:r w:rsidRPr="007B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12A8">
        <w:rPr>
          <w:rFonts w:ascii="Times New Roman" w:hAnsi="Times New Roman" w:cs="Times New Roman"/>
          <w:b/>
          <w:sz w:val="20"/>
          <w:szCs w:val="20"/>
        </w:rPr>
        <w:t>C</w:t>
      </w:r>
      <w:r w:rsidRPr="007B1A66">
        <w:rPr>
          <w:rFonts w:ascii="Times New Roman" w:hAnsi="Times New Roman" w:cs="Times New Roman"/>
          <w:b/>
          <w:sz w:val="20"/>
          <w:szCs w:val="20"/>
        </w:rPr>
        <w:t>réation de spécialité </w:t>
      </w:r>
      <w:r w:rsidR="001F12A8">
        <w:rPr>
          <w:rFonts w:ascii="Times New Roman" w:hAnsi="Times New Roman" w:cs="Times New Roman"/>
          <w:b/>
          <w:sz w:val="20"/>
          <w:szCs w:val="20"/>
        </w:rPr>
        <w:t xml:space="preserve">pour </w:t>
      </w:r>
      <w:r w:rsidR="001F12A8" w:rsidRPr="00D14FDB">
        <w:rPr>
          <w:rFonts w:ascii="Times New Roman" w:hAnsi="Times New Roman" w:cs="Times New Roman"/>
          <w:b/>
          <w:sz w:val="20"/>
          <w:szCs w:val="20"/>
        </w:rPr>
        <w:t>ouverture à la rentrée 201</w:t>
      </w:r>
      <w:r w:rsidR="001F12A8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1F12A8" w:rsidRPr="007B2157">
        <w:rPr>
          <w:rFonts w:ascii="Times New Roman" w:hAnsi="Times New Roman" w:cs="Times New Roman"/>
          <w:sz w:val="20"/>
          <w:szCs w:val="20"/>
        </w:rPr>
        <w:t>(</w:t>
      </w:r>
      <w:r w:rsidR="002B38D9">
        <w:rPr>
          <w:rFonts w:ascii="Times New Roman" w:hAnsi="Times New Roman" w:cs="Times New Roman"/>
          <w:sz w:val="20"/>
          <w:szCs w:val="20"/>
        </w:rPr>
        <w:t xml:space="preserve">la </w:t>
      </w:r>
      <w:r w:rsidR="001F12A8" w:rsidRPr="007B2157">
        <w:rPr>
          <w:rFonts w:ascii="Times New Roman" w:hAnsi="Times New Roman" w:cs="Times New Roman"/>
          <w:sz w:val="20"/>
          <w:szCs w:val="20"/>
          <w:u w:val="single"/>
        </w:rPr>
        <w:t xml:space="preserve">saisie </w:t>
      </w:r>
      <w:r w:rsidR="002B38D9">
        <w:rPr>
          <w:rFonts w:ascii="Times New Roman" w:hAnsi="Times New Roman" w:cs="Times New Roman"/>
          <w:sz w:val="20"/>
          <w:szCs w:val="20"/>
          <w:u w:val="single"/>
        </w:rPr>
        <w:t>sera</w:t>
      </w:r>
      <w:r w:rsidR="001F12A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F12A8" w:rsidRPr="007B2157">
        <w:rPr>
          <w:rFonts w:ascii="Times New Roman" w:hAnsi="Times New Roman" w:cs="Times New Roman"/>
          <w:sz w:val="20"/>
          <w:szCs w:val="20"/>
          <w:u w:val="single"/>
        </w:rPr>
        <w:t>effectu</w:t>
      </w:r>
      <w:r w:rsidR="002B38D9">
        <w:rPr>
          <w:rFonts w:ascii="Times New Roman" w:hAnsi="Times New Roman" w:cs="Times New Roman"/>
          <w:sz w:val="20"/>
          <w:szCs w:val="20"/>
          <w:u w:val="single"/>
        </w:rPr>
        <w:t>ée</w:t>
      </w:r>
      <w:r w:rsidR="001F12A8" w:rsidRPr="007B2157">
        <w:rPr>
          <w:rFonts w:ascii="Times New Roman" w:hAnsi="Times New Roman" w:cs="Times New Roman"/>
          <w:sz w:val="20"/>
          <w:szCs w:val="20"/>
          <w:u w:val="single"/>
        </w:rPr>
        <w:t xml:space="preserve"> sur edgsip</w:t>
      </w:r>
      <w:r w:rsidR="001F12A8">
        <w:rPr>
          <w:rFonts w:ascii="Times New Roman" w:hAnsi="Times New Roman" w:cs="Times New Roman"/>
          <w:sz w:val="20"/>
          <w:szCs w:val="20"/>
          <w:u w:val="single"/>
        </w:rPr>
        <w:t xml:space="preserve"> courant juin 2011) : </w:t>
      </w:r>
    </w:p>
    <w:p w:rsidR="003F657C" w:rsidRPr="007B1A66" w:rsidRDefault="003F657C" w:rsidP="003F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A66">
        <w:rPr>
          <w:rFonts w:ascii="Times New Roman" w:hAnsi="Times New Roman" w:cs="Times New Roman"/>
          <w:sz w:val="20"/>
          <w:szCs w:val="20"/>
        </w:rPr>
        <w:t xml:space="preserve">Compte-tenu du volume des effectifs d’étudiants présentant le Capes Histoire- Géographie, il a semblé plus opportun de créer une spécialité au sein de la mention disciplinaire « histoire et histoire de l’art » </w:t>
      </w:r>
      <w:r w:rsidR="001F12A8">
        <w:rPr>
          <w:rFonts w:ascii="Times New Roman" w:hAnsi="Times New Roman" w:cs="Times New Roman"/>
          <w:sz w:val="20"/>
          <w:szCs w:val="20"/>
        </w:rPr>
        <w:t xml:space="preserve">déposée il y a quelques mois à l’expertise dans le cadre du contrat quadriennal 2011-2014 </w:t>
      </w:r>
      <w:r w:rsidRPr="007B1A66">
        <w:rPr>
          <w:rFonts w:ascii="Times New Roman" w:hAnsi="Times New Roman" w:cs="Times New Roman"/>
          <w:sz w:val="20"/>
          <w:szCs w:val="20"/>
        </w:rPr>
        <w:t>(</w:t>
      </w:r>
      <w:r w:rsidR="001F12A8" w:rsidRPr="007B1A66">
        <w:rPr>
          <w:rFonts w:ascii="Times New Roman" w:hAnsi="Times New Roman" w:cs="Times New Roman"/>
          <w:sz w:val="20"/>
          <w:szCs w:val="20"/>
        </w:rPr>
        <w:t>cf.</w:t>
      </w:r>
      <w:r w:rsidRPr="007B1A66">
        <w:rPr>
          <w:rFonts w:ascii="Times New Roman" w:hAnsi="Times New Roman" w:cs="Times New Roman"/>
          <w:sz w:val="20"/>
          <w:szCs w:val="20"/>
        </w:rPr>
        <w:t xml:space="preserve"> tableau ci-dessous). Cette spécialité  accueillera également les étudiant</w:t>
      </w:r>
      <w:r w:rsidR="00330439">
        <w:rPr>
          <w:rFonts w:ascii="Times New Roman" w:hAnsi="Times New Roman" w:cs="Times New Roman"/>
          <w:sz w:val="20"/>
          <w:szCs w:val="20"/>
        </w:rPr>
        <w:t>s</w:t>
      </w:r>
      <w:r w:rsidRPr="007B1A66">
        <w:rPr>
          <w:rFonts w:ascii="Times New Roman" w:hAnsi="Times New Roman" w:cs="Times New Roman"/>
          <w:sz w:val="20"/>
          <w:szCs w:val="20"/>
        </w:rPr>
        <w:t xml:space="preserve"> géographes de l’université voisine et sera donc co-habilitée avec cette dernière (Grenoble 1).</w:t>
      </w:r>
    </w:p>
    <w:tbl>
      <w:tblPr>
        <w:tblStyle w:val="Grilledutableau"/>
        <w:tblW w:w="0" w:type="auto"/>
        <w:tblLook w:val="04A0"/>
      </w:tblPr>
      <w:tblGrid>
        <w:gridCol w:w="1928"/>
        <w:gridCol w:w="2576"/>
        <w:gridCol w:w="2692"/>
        <w:gridCol w:w="2092"/>
      </w:tblGrid>
      <w:tr w:rsidR="003F657C" w:rsidRPr="00634457" w:rsidTr="001F12A8">
        <w:tc>
          <w:tcPr>
            <w:tcW w:w="1928" w:type="dxa"/>
            <w:shd w:val="clear" w:color="auto" w:fill="FFC000"/>
          </w:tcPr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Concours</w:t>
            </w:r>
          </w:p>
        </w:tc>
        <w:tc>
          <w:tcPr>
            <w:tcW w:w="2576" w:type="dxa"/>
            <w:shd w:val="clear" w:color="auto" w:fill="FFC000"/>
          </w:tcPr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Mention de master</w:t>
            </w:r>
          </w:p>
          <w:p w:rsidR="003F657C" w:rsidRPr="00634457" w:rsidRDefault="003F657C" w:rsidP="008C15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C000"/>
          </w:tcPr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Création de spécialité</w:t>
            </w:r>
          </w:p>
        </w:tc>
        <w:tc>
          <w:tcPr>
            <w:tcW w:w="2092" w:type="dxa"/>
            <w:shd w:val="clear" w:color="auto" w:fill="FFC000"/>
          </w:tcPr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Etablissement co habilité</w:t>
            </w:r>
          </w:p>
        </w:tc>
      </w:tr>
      <w:tr w:rsidR="003F657C" w:rsidRPr="00634457" w:rsidTr="008C1593">
        <w:tc>
          <w:tcPr>
            <w:tcW w:w="1928" w:type="dxa"/>
          </w:tcPr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>Capes Histoire-Géographie</w:t>
            </w:r>
          </w:p>
        </w:tc>
        <w:tc>
          <w:tcPr>
            <w:tcW w:w="2576" w:type="dxa"/>
          </w:tcPr>
          <w:p w:rsidR="003F657C" w:rsidRDefault="003F657C" w:rsidP="001F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sz w:val="20"/>
                <w:szCs w:val="20"/>
              </w:rPr>
              <w:t xml:space="preserve">Histoire et Histoire de l’art </w:t>
            </w:r>
          </w:p>
          <w:p w:rsidR="001F12A8" w:rsidRDefault="001F12A8" w:rsidP="001F1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457">
              <w:rPr>
                <w:rFonts w:ascii="Times New Roman" w:hAnsi="Times New Roman" w:cs="Times New Roman"/>
                <w:i/>
                <w:sz w:val="20"/>
                <w:szCs w:val="20"/>
              </w:rPr>
              <w:t>(N° 20040359)</w:t>
            </w:r>
          </w:p>
          <w:p w:rsidR="001F12A8" w:rsidRDefault="001F12A8" w:rsidP="001F12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A8" w:rsidRPr="00634457" w:rsidRDefault="001F12A8" w:rsidP="001F1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Evaluation par l’AERES en cours dans le cadre de la campagne d’habilitation 2011-2014</w:t>
            </w:r>
          </w:p>
        </w:tc>
        <w:tc>
          <w:tcPr>
            <w:tcW w:w="2692" w:type="dxa"/>
          </w:tcPr>
          <w:p w:rsidR="003F657C" w:rsidRPr="00B455A0" w:rsidRDefault="003F657C" w:rsidP="008C1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5A0">
              <w:rPr>
                <w:rFonts w:ascii="Times New Roman" w:hAnsi="Times New Roman" w:cs="Times New Roman"/>
                <w:b/>
                <w:sz w:val="20"/>
                <w:szCs w:val="20"/>
              </w:rPr>
              <w:t>Métiers de l’enseignement de l’Histoire et de la géographie</w:t>
            </w:r>
          </w:p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Adaptation du M1 avec 1 parcours « enseignement secondaire » à dominante historique dans le master histoire et histoire de l’art et 1 parcours à dominante géographe dans le master science du térritoire</w:t>
            </w:r>
          </w:p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57C" w:rsidRPr="008744F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Création de la spécialité professionnelle co-habilitée avec Grenoble 1 en M2 « </w:t>
            </w:r>
            <w:r w:rsidRPr="008744FC">
              <w:rPr>
                <w:rFonts w:ascii="Times New Roman" w:hAnsi="Times New Roman" w:cs="Times New Roman"/>
                <w:sz w:val="20"/>
                <w:szCs w:val="20"/>
              </w:rPr>
              <w:t>Métiers de l’enseignement de l’Histoire et de la géographie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» au sein du master histoire et Histoire de</w:t>
            </w:r>
            <w:r w:rsidR="001F1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l’art</w:t>
            </w:r>
          </w:p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57C" w:rsidRPr="00634457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Spécialité co-habilitée avec Grenoble 1</w:t>
            </w:r>
          </w:p>
          <w:p w:rsidR="003F657C" w:rsidRDefault="003F657C" w:rsidP="008C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57C" w:rsidRPr="007B2157" w:rsidRDefault="001F12A8" w:rsidP="001F12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 d</w:t>
            </w:r>
            <w:r w:rsidR="003F657C" w:rsidRPr="007B21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ossier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sera </w:t>
            </w:r>
            <w:r w:rsidR="003F657C" w:rsidRPr="007B21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transmis par Grenoble 2</w:t>
            </w:r>
          </w:p>
        </w:tc>
      </w:tr>
    </w:tbl>
    <w:p w:rsidR="003F657C" w:rsidRPr="00634457" w:rsidRDefault="003F657C" w:rsidP="00454903">
      <w:pPr>
        <w:rPr>
          <w:rFonts w:ascii="Times New Roman" w:hAnsi="Times New Roman" w:cs="Times New Roman"/>
          <w:sz w:val="20"/>
          <w:szCs w:val="20"/>
        </w:rPr>
      </w:pPr>
    </w:p>
    <w:sectPr w:rsidR="003F657C" w:rsidRPr="00634457" w:rsidSect="004644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C7" w:rsidRDefault="00AC26C7" w:rsidP="007B1A66">
      <w:pPr>
        <w:spacing w:after="0" w:line="240" w:lineRule="auto"/>
      </w:pPr>
      <w:r>
        <w:separator/>
      </w:r>
    </w:p>
  </w:endnote>
  <w:endnote w:type="continuationSeparator" w:id="0">
    <w:p w:rsidR="00AC26C7" w:rsidRDefault="00AC26C7" w:rsidP="007B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5376"/>
      <w:docPartObj>
        <w:docPartGallery w:val="Page Numbers (Bottom of Page)"/>
        <w:docPartUnique/>
      </w:docPartObj>
    </w:sdtPr>
    <w:sdtContent>
      <w:p w:rsidR="007B1A66" w:rsidRDefault="007B1A66">
        <w:pPr>
          <w:pStyle w:val="Pieddepage"/>
        </w:pPr>
      </w:p>
      <w:p w:rsidR="007B1A66" w:rsidRDefault="00242E3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7B1A66" w:rsidRDefault="00242E34">
                    <w:pPr>
                      <w:jc w:val="center"/>
                    </w:pPr>
                    <w:fldSimple w:instr=" PAGE    \* MERGEFORMAT ">
                      <w:r w:rsidR="004B1258" w:rsidRPr="004B1258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C7" w:rsidRDefault="00AC26C7" w:rsidP="007B1A66">
      <w:pPr>
        <w:spacing w:after="0" w:line="240" w:lineRule="auto"/>
      </w:pPr>
      <w:r>
        <w:separator/>
      </w:r>
    </w:p>
  </w:footnote>
  <w:footnote w:type="continuationSeparator" w:id="0">
    <w:p w:rsidR="00AC26C7" w:rsidRDefault="00AC26C7" w:rsidP="007B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A0F"/>
    <w:multiLevelType w:val="hybridMultilevel"/>
    <w:tmpl w:val="E6ACDAE0"/>
    <w:lvl w:ilvl="0" w:tplc="B4D0362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B2511C4"/>
    <w:multiLevelType w:val="hybridMultilevel"/>
    <w:tmpl w:val="94F86A98"/>
    <w:lvl w:ilvl="0" w:tplc="4CEC742E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52BDA"/>
    <w:rsid w:val="001535EA"/>
    <w:rsid w:val="00167DAF"/>
    <w:rsid w:val="001B52CD"/>
    <w:rsid w:val="001F12A8"/>
    <w:rsid w:val="00242E34"/>
    <w:rsid w:val="00265F28"/>
    <w:rsid w:val="002A3DFA"/>
    <w:rsid w:val="002B38D9"/>
    <w:rsid w:val="00330439"/>
    <w:rsid w:val="00385AC2"/>
    <w:rsid w:val="003F657C"/>
    <w:rsid w:val="00454903"/>
    <w:rsid w:val="00464441"/>
    <w:rsid w:val="004A63F0"/>
    <w:rsid w:val="004B1258"/>
    <w:rsid w:val="0054759F"/>
    <w:rsid w:val="005C77AC"/>
    <w:rsid w:val="005D319E"/>
    <w:rsid w:val="00634457"/>
    <w:rsid w:val="006F0E84"/>
    <w:rsid w:val="00766811"/>
    <w:rsid w:val="007944C9"/>
    <w:rsid w:val="007B1A66"/>
    <w:rsid w:val="007B2157"/>
    <w:rsid w:val="008744FC"/>
    <w:rsid w:val="00937FEF"/>
    <w:rsid w:val="009A3132"/>
    <w:rsid w:val="00AC26C7"/>
    <w:rsid w:val="00AE3EE9"/>
    <w:rsid w:val="00B328B5"/>
    <w:rsid w:val="00B455A0"/>
    <w:rsid w:val="00D14FDB"/>
    <w:rsid w:val="00DD09FC"/>
    <w:rsid w:val="00DE0DC0"/>
    <w:rsid w:val="00E52BDA"/>
    <w:rsid w:val="00EA3D06"/>
    <w:rsid w:val="00EB6A30"/>
    <w:rsid w:val="00FA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9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1A66"/>
  </w:style>
  <w:style w:type="paragraph" w:styleId="Pieddepage">
    <w:name w:val="footer"/>
    <w:basedOn w:val="Normal"/>
    <w:link w:val="PieddepageCar"/>
    <w:uiPriority w:val="99"/>
    <w:semiHidden/>
    <w:unhideWhenUsed/>
    <w:rsid w:val="007B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bourretc</dc:creator>
  <cp:keywords/>
  <dc:description/>
  <cp:lastModifiedBy>bourretc</cp:lastModifiedBy>
  <cp:revision>14</cp:revision>
  <cp:lastPrinted>2010-05-25T14:20:00Z</cp:lastPrinted>
  <dcterms:created xsi:type="dcterms:W3CDTF">2010-05-25T08:25:00Z</dcterms:created>
  <dcterms:modified xsi:type="dcterms:W3CDTF">2010-05-26T11:39:00Z</dcterms:modified>
</cp:coreProperties>
</file>